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知识产权质押融资项目</w:t>
      </w: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二、知识产权质押融资项目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优化知识产权融资服务体系，培育知识产权金融服务市场，拓宽融资渠道，对通过知识产权（专利、商标、版权）质押方式申请银行贷款，并在上一年还清贷款本息的单位，按实际支出贷款利息给予最高 70%的资助，同一单位年度资助总额最高 50 万元。（《若干措施》第四条第十七项）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snapToGrid w:val="0"/>
        <w:spacing w:line="560" w:lineRule="exact"/>
        <w:ind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pacing w:val="-6"/>
          <w:sz w:val="32"/>
          <w:szCs w:val="32"/>
          <w:highlight w:val="none"/>
          <w:lang w:val="en-US" w:eastAsia="zh-CN"/>
        </w:rPr>
        <w:t>申请单位通过知识产权（专利、商标、版权）质押方式申请银行贷款，并在上一年还清贷款本息。</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pacing w:val="-6"/>
          <w:sz w:val="32"/>
          <w:szCs w:val="32"/>
          <w:highlight w:val="none"/>
          <w:lang w:val="en-US" w:eastAsia="zh-CN"/>
        </w:rPr>
        <w:t>以组合贷款方式进行融资的，只计算知识产权质押融资贷款部分，组合贷款中无法计算知识产权质押融资金额的，不予资助。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numPr>
          <w:ilvl w:val="0"/>
          <w:numId w:val="0"/>
        </w:numPr>
        <w:kinsoku/>
        <w:overflowPunct/>
        <w:autoSpaceDE/>
        <w:autoSpaceDN/>
        <w:snapToGrid w:val="0"/>
        <w:spacing w:line="560" w:lineRule="exact"/>
        <w:ind w:leftChars="0"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质押合同、知识产权质押证明（如质权登记证书、质押登记通知书等）。</w:t>
      </w:r>
    </w:p>
    <w:p>
      <w:pPr>
        <w:widowControl/>
        <w:snapToGrid w:val="0"/>
        <w:spacing w:line="560" w:lineRule="exact"/>
        <w:ind w:firstLine="640" w:firstLineChars="200"/>
        <w:jc w:val="left"/>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银行出具的贷款合同、放款凭证、已完成还款付息的凭证（如银行出具的贷款付息凭证等）、实际支付利息清单的情况说明等证明材料。如涉及担保、评估还需提供</w:t>
      </w:r>
      <w:r>
        <w:rPr>
          <w:rFonts w:hint="eastAsia" w:ascii="Times New Roman" w:hAnsi="Times New Roman" w:eastAsia="仿宋_GB2312" w:cs="Times New Roman"/>
          <w:spacing w:val="-6"/>
          <w:sz w:val="32"/>
          <w:szCs w:val="32"/>
          <w:highlight w:val="none"/>
          <w:lang w:eastAsia="zh-CN"/>
        </w:rPr>
        <w:t>担保（或</w:t>
      </w:r>
      <w:r>
        <w:rPr>
          <w:rFonts w:hint="eastAsia" w:ascii="Times New Roman" w:hAnsi="Times New Roman" w:eastAsia="仿宋_GB2312" w:cs="Times New Roman"/>
          <w:spacing w:val="-6"/>
          <w:sz w:val="32"/>
          <w:szCs w:val="32"/>
          <w:highlight w:val="none"/>
        </w:rPr>
        <w:t>反担保</w:t>
      </w:r>
      <w:r>
        <w:rPr>
          <w:rFonts w:hint="eastAsia" w:ascii="Times New Roman" w:hAnsi="Times New Roman" w:eastAsia="仿宋_GB2312" w:cs="Times New Roman"/>
          <w:spacing w:val="-6"/>
          <w:sz w:val="32"/>
          <w:szCs w:val="32"/>
          <w:highlight w:val="none"/>
          <w:lang w:eastAsia="zh-CN"/>
        </w:rPr>
        <w:t>）</w:t>
      </w:r>
      <w:r>
        <w:rPr>
          <w:rFonts w:hint="eastAsia" w:ascii="Times New Roman" w:hAnsi="Times New Roman" w:eastAsia="仿宋_GB2312" w:cs="Times New Roman"/>
          <w:spacing w:val="-6"/>
          <w:sz w:val="32"/>
          <w:szCs w:val="32"/>
          <w:highlight w:val="none"/>
        </w:rPr>
        <w:t>合同</w:t>
      </w:r>
      <w:r>
        <w:rPr>
          <w:rFonts w:hint="eastAsia" w:ascii="Times New Roman" w:hAnsi="Times New Roman" w:eastAsia="仿宋_GB2312" w:cs="Times New Roman"/>
          <w:spacing w:val="-6"/>
          <w:sz w:val="32"/>
          <w:szCs w:val="32"/>
          <w:highlight w:val="none"/>
          <w:lang w:eastAsia="zh-CN"/>
        </w:rPr>
        <w:t>、资产</w:t>
      </w:r>
      <w:r>
        <w:rPr>
          <w:rFonts w:hint="eastAsia" w:ascii="Times New Roman" w:hAnsi="Times New Roman" w:eastAsia="仿宋_GB2312" w:cs="Times New Roman"/>
          <w:spacing w:val="-6"/>
          <w:sz w:val="32"/>
          <w:szCs w:val="32"/>
          <w:highlight w:val="none"/>
          <w:lang w:val="en-US" w:eastAsia="zh-CN"/>
        </w:rPr>
        <w:t>评估合同。</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170287E"/>
    <w:rsid w:val="124D44D7"/>
    <w:rsid w:val="12530AB8"/>
    <w:rsid w:val="13C17950"/>
    <w:rsid w:val="13C46041"/>
    <w:rsid w:val="14FA090F"/>
    <w:rsid w:val="16956BC5"/>
    <w:rsid w:val="17301CFA"/>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88557E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36B8B"/>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561BC4"/>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AAABD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1425</Words>
  <Characters>1480</Characters>
  <Lines>63</Lines>
  <Paragraphs>17</Paragraphs>
  <TotalTime>12</TotalTime>
  <ScaleCrop>false</ScaleCrop>
  <LinksUpToDate>false</LinksUpToDate>
  <CharactersWithSpaces>1486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2025-07-08T15:10:14Z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